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25" w:rsidRPr="00787525" w:rsidRDefault="00787525" w:rsidP="00787525">
      <w:pPr>
        <w:pStyle w:val="NormalWeb"/>
        <w:shd w:val="clear" w:color="auto" w:fill="FFFFFF"/>
        <w:spacing w:after="360" w:afterAutospacing="0"/>
        <w:jc w:val="center"/>
        <w:rPr>
          <w:b/>
          <w:color w:val="000000"/>
          <w:sz w:val="26"/>
          <w:szCs w:val="26"/>
        </w:rPr>
      </w:pPr>
      <w:bookmarkStart w:id="0" w:name="_GoBack"/>
      <w:bookmarkEnd w:id="0"/>
      <w:r w:rsidRPr="00787525">
        <w:rPr>
          <w:rStyle w:val="Strong"/>
          <w:color w:val="000000"/>
          <w:sz w:val="26"/>
          <w:szCs w:val="26"/>
        </w:rPr>
        <w:t>CỘNG HÒA XÃ HỘI CHỦ NGHĨA VIỆT NAM</w:t>
      </w:r>
    </w:p>
    <w:p w:rsidR="00787525" w:rsidRPr="00787525" w:rsidRDefault="00787525" w:rsidP="00787525">
      <w:pPr>
        <w:pStyle w:val="NormalWeb"/>
        <w:shd w:val="clear" w:color="auto" w:fill="FFFFFF"/>
        <w:spacing w:after="360" w:afterAutospacing="0"/>
        <w:jc w:val="center"/>
        <w:rPr>
          <w:b/>
          <w:color w:val="000000"/>
          <w:sz w:val="26"/>
          <w:szCs w:val="26"/>
          <w:u w:val="single"/>
        </w:rPr>
      </w:pPr>
      <w:r w:rsidRPr="00787525">
        <w:rPr>
          <w:b/>
          <w:color w:val="000000"/>
          <w:sz w:val="26"/>
          <w:szCs w:val="26"/>
          <w:u w:val="single"/>
        </w:rPr>
        <w:t>Độc lập- Tự do- Hạnh phúc</w:t>
      </w:r>
    </w:p>
    <w:p w:rsidR="00787525" w:rsidRPr="00787525" w:rsidRDefault="00787525" w:rsidP="00787525">
      <w:pPr>
        <w:pStyle w:val="NormalWeb"/>
        <w:shd w:val="clear" w:color="auto" w:fill="FFFFFF"/>
        <w:spacing w:after="360" w:afterAutospacing="0"/>
        <w:jc w:val="center"/>
        <w:rPr>
          <w:b/>
          <w:color w:val="000000"/>
          <w:sz w:val="32"/>
          <w:szCs w:val="26"/>
        </w:rPr>
      </w:pPr>
      <w:r w:rsidRPr="00787525">
        <w:rPr>
          <w:rStyle w:val="Strong"/>
          <w:color w:val="000000"/>
          <w:sz w:val="32"/>
          <w:szCs w:val="26"/>
        </w:rPr>
        <w:t>HỢP ĐỒNG PHÂN PHỐI</w:t>
      </w:r>
    </w:p>
    <w:p w:rsidR="00787525" w:rsidRPr="00787525" w:rsidRDefault="00787525" w:rsidP="00787525">
      <w:pPr>
        <w:pStyle w:val="NormalWeb"/>
        <w:shd w:val="clear" w:color="auto" w:fill="FFFFFF"/>
        <w:spacing w:after="360" w:afterAutospacing="0"/>
        <w:jc w:val="center"/>
        <w:rPr>
          <w:color w:val="000000"/>
          <w:sz w:val="26"/>
          <w:szCs w:val="26"/>
        </w:rPr>
      </w:pPr>
      <w:r w:rsidRPr="00787525">
        <w:rPr>
          <w:color w:val="000000"/>
          <w:sz w:val="26"/>
          <w:szCs w:val="26"/>
        </w:rPr>
        <w:t>Số: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Hợp đồng được lập vào ngày …… tháng …… năm……..tại ………………….giữa:</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NHÀ PHÂN PHỐI</w:t>
      </w:r>
      <w:r w:rsidRPr="00787525">
        <w:rPr>
          <w:color w:val="000000"/>
          <w:sz w:val="26"/>
          <w:szCs w:val="26"/>
        </w:rPr>
        <w:t>: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Địa chỉ:……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Mã số thuế: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Điện thoại: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Đại diện:…….Chức vụ: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Tài khoản giao dịch: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Tại Ngân hàng: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Địa chỉ Ngân hàng: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Giấy phép kinh doanh số:………..cấp ngày…………tại: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Và</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NHÀ CUNG CẤP</w:t>
      </w:r>
      <w:r w:rsidRPr="00787525">
        <w:rPr>
          <w:color w:val="000000"/>
          <w:sz w:val="26"/>
          <w:szCs w:val="26"/>
        </w:rPr>
        <w:t>: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Địa chỉ: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Mã số thuế: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Điện thoại: ……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Đại diện:…….. Chức vụ:…</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lastRenderedPageBreak/>
        <w:t>Tài khoản giao dịch: ……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Tại Ngân hàng: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Địa chỉ Ngân hàng: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Giấy phép kinh doanh số:……. ….cấp ngày………….tại: ……</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1: BỔ NHIỆM</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Nhà cung cấp bổ nhiệm nhà phân phối làm nhà phân phối độc quyền của mình để phân phối và bán các sản phẩm (định nghĩa tại Điều 3) trong khu vực:……….. và nhà phân phối chấp nhận sự bổ nhiệm này cùng với những điều kiện và điều khoản được lập ra trong hợp đồng này.</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2: THỜI HẠN PHÂN PHỐI</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Hợp đồng phân phối sẽ có hiệu lực vào ngày…….. và kết thúc đến……….  Các bên có thể quyết định ký mới hợp đồng này khi hết hạn bằng văn bản có sự đồng ý của hai bên. Hợp đồng có thể chấm dứt sớm hơn thời hạn như Điều 17.</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3: BỔN PHẬN VÀ TRÁCH NHIỆM CỦA NHÀ CUNG CẤP</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Nhà cung cấp thực hiện bổn phận và trách nhiệm sau:</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1- Chuẩn bị các sản phẩm nhãn hiệu……..(được gọi chung là sản phẩm) được sản xuất bởi nhà cung cấp.</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2- Nhà cung cấp tổ chức huấn luyện, hướng dẫn và hỗ trợ nhà phân phối các chương trình quảng cáo, khuyến mãi, POSM theo từng giai đoạn phát triển của thị trường (do công ty quy định).</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4: BỔN PHẬN VÀ TRÁCH NHIỆM CỦA NHÀ PHÂN PHỐI</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Nhà phân phối thực hiện bổn phận và trách nhiệm như sau;</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1- Nhà phân phối nỗ lực để đạt doanh số mục tiêu được giao.</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lastRenderedPageBreak/>
        <w:t>2- Phân phối các sản phẩm của nhà cung cấp và thực hiện đúng các chương trình khuyến mãi mà công ty trao.</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5: QUYỀN SỞ HỮU TRÍ TUỆ</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1- Mọi quyền sở hữu trí tuệ được quy định trong Bộ luật dân sự Việt Nam do nhà cung cấp sở hữu hay được cấp phép liên quan đến các sản phẩm và bất cứ nhãn hiệu hàng hóa hướng dẫn cho người sử dụng và tài liệu nào đó do nhà cung cấp cung cấp cho nhà phân phối liên quan đến các sản phẩm sẽ luôn là tài sản thuộc nhà cung cấp.</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2- Nhà cung cấp không được sử dụng tên thương mại, tên biểu tượng, khẩu hiệu của nhà cung cấp trừ phi dùng cho khuyến mại, quảng cáo và bán các sản phẩm và/hoặc được sự đồng ý của nhà cung cấp.</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 ĐIỀU 6: TÍNH BẢO MẬT</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Nhà phân phối phải bảo mật tất cả các thông tin bao gồm: Các kế hoạch bán sản phẩm, nghiên cứu thị trường, chiến dịch khuyến mại, số liệu bán hàng, các hoạt động tiếp thị, dữ liệu thống kê báo cáo và các hoạt động khác có thể được quy định bởi nhà cung cấp trong từng thời điểm theo hợp đồng này (“Các thông tin bảo mật”).</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7: HOA HỒNG</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1- Nhà phân phối được hưởng chiết khấu bảy phần trăm (7%) hoa hồng cho việc mua các sản phẩm theo doanh số tháng và thêm 1% hoa hồng của quý. Nếu nhà phân phối đạt chỉ tiêu doanh số toàn bộ các tháng trong quý của nhà cung cấp. Ngoài ra nhà phân phối sẽ nhận thêm 0,5% hoa hồng ½ năm nếu đạt chỉ tiêu doanh số 2 quý liên tục. Ví dụ: Doanh nghiệp A đạt chỉ tiêu doanh số trong 3 tháng liên tiếp 1, 2, 3 thì sẽ được nhận thêm 1% hoa hồng của quý, sang quý 2, nếu nhà phân phối tiếp tục đạt chỉ tiêu doanh số các tháng 3, 4, 5 liên tiếp sẽ nhận được hoa hồng 1% cho quý II. Vậy nhà phân phối đạt liên tiếp chỉ tiêu doanh số 2 quý. Do đó nhà phân phối sẽ nhận thêm 0,5% hoa hồng ½ năm.</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8: CHỈ TIÊU BÁN HÀNG VÀ THƯỞNG</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1- Nhà cung cấp sẽ lập chỉ tiêu bán hàng tháng theo doanh số và theo sản phẩm để nhà phân phối thực hiện.</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lastRenderedPageBreak/>
        <w:t>2- Nhà cung cấp sẽ lập và đưa chỉ tiêu bán hàng theo tháng cho nhà phân phối như được nói đến trong hợp đồng này sớm nhất có thể nhưng không được trễ hơn 7 ngày làm việc sau ngày bắt đầu tháng. Ví dụ nhà phân phối sẽ lập và đưa chỉ tiêu bán hàng trước ngày 7-6 cho chỉ tiêu tháng 6.</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9: GIAO HÀNG</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1- Khi nhận được đơn đặt hàng của nhà phân phối, nhà cung cấp giao hàng đến kho được chỉ định của nhà phân phối trong khu vực được chỉ định, miễn là giá trị mỗi đơn đặt hàng phải từ …………triệu đồng trở lên (bằng chữ:…………)</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2- Chi phí dỡ hàng sẽ do nhà phân phối chịu.</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10: KHO BÃI</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Nhà phân phối phải giữ gìn và bảo quản kho bãi đúng cách để bảo đảm hàng hóa được lưu trữ an toàn. Không để các sản phẩm dưới ánh nắng mặt trời, nước hay bất kỳ điều kiện tự nhiên nào khác có thể làm ảnh hưởng đến chất lượng sản phẩm kể cả bao bì của chúng.</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11: MỨC TỒN KHO</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Nhà phân phối phải luôn luôn duy trì mức tồn kho đủ để đáp ứng kịp thời nhu cầu bán hàng trong tháng.</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12: NHÂN VIÊN BÁN HÀNG VÀ QUYỀN GIÁM SÁT</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1- Nhà phân phối phải hỗ trợ nhà cung cấp tuyển dụng đủ số lượng nhân viên bán hàng và nhà cung cấp đồng ý hỗ trợ cho nhà phân phối để chuyên bán các sản phẩm của nhà cung cấp. Tuy nhiên, khi cần thiết nhà cung cấp có quyền yêu cầu nhà phân phối tăng cường số lượng các nhân viên bán hàng hiện có.</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Nhà cung cấp có quyền điều chỉnh số lượng nhân viên bán hàng mà nhà phân phối yêu cầu bất cứ lúc nào bằng cách thông báo bằng văn bản trước 15 ngày.</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lastRenderedPageBreak/>
        <w:t>ĐIỀU 13: SẢN PHẨM VÀ GIÁ CẢ</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Sản phẩm và giá cả được nói trong hợp đồng này có thể được thay đổi bởi nhà cung cấp bằng văn bản đến nhà phân phối trước một tuần kể từ ngày thực hiện và việc thay đổi này sẽ có hiệu lực ngay hoặc như được nói đến trong bản thông báo.</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14: HÓA ĐƠN</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1- Nhà cung cấp sẽ phát hành hóa đơn GTGT chính thức cho nhà phân phối khi mua hàng.</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2- Hóa đơn GTGT sẽ được giao cho nhà phân phối khi giao hàng.</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3- Nhà cung cấp sẽ chuyển cho nhà phân phối các biểu mẫu, hóa đơn để dễ dàng trong việc thực hiện quản lý các đơn hàng.</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15: PHƯƠNG THỨC THANH TOÁN</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1- Nhà phân phối sẽ thanh toán theo phương thức trả bằng tiền mặt hoặc chuyển khoản.</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2- Trong trường hợp nhà phân phối trả tiền hàng bằng chuyển khoản, phí chuyển khoản do nhà phân phối chịu.</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16: CHẤM DỨT HỢP ĐỒNG</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1- Nhà cung cấp có thể chấm dứt hợp đồng ngay lập tức bằng văn bản thông báo đến nhà phân phối khi nhà phân phối vi phạm bất cứ nghĩa vụ nào đã được nói đến trong hợp đồng này và vi phạm này không được khắc phục trong vòng bảy (7) ngày làm việc kể từ khi nhà phân phối nhận được một thông báo bằng văn bản từ nhà cung cấp về việc vi phạm đó.</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2- Ngoài quy định tại điểm 16.1, bất cứ bên nào cũng có quyền chấm dứt hợp đồng không cần lý do bằng cách thông báo cho bên kia trước 30 ngày bằng văn bản.</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t>ĐIỀU 17: BẤT KHẢ KHÁNG</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Trong trường hợp bất khả kháng được quy định trong luật dân sự thì bên bị cản trở được quyền tạm dừng việc thi hành nghĩa vụ của mình mà không phải chịu trách nhiệm về bất cứ hậu quả nào gây ra do chậm trễ, hư hỏng hoặc mất mát có liên quan, đồng thời phải thông báo ngay lập tức cho bên kia biết về sự cố bất khả kháng đó.</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rStyle w:val="Strong"/>
          <w:color w:val="000000"/>
          <w:sz w:val="26"/>
          <w:szCs w:val="26"/>
        </w:rPr>
        <w:lastRenderedPageBreak/>
        <w:t>ĐIỀU 18: ĐIỀU KHOẢN CHUNG</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1- Hai bên cam kết thực hiện các điều khoản trong hợp đồng này. Nếu có bất kỳ khó khăn hay thay đổi nào trong việc thực hiện hợp đồng, hai bên phải bàn bạc thảo luận để tìm ra giải pháp. Bất kỳ sự đơn phương sửa đổi nào trong hợp đồng này đều vô hiệu.</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w:t>
      </w:r>
    </w:p>
    <w:p w:rsidR="00787525" w:rsidRPr="00787525" w:rsidRDefault="00787525" w:rsidP="00787525">
      <w:pPr>
        <w:pStyle w:val="NormalWeb"/>
        <w:shd w:val="clear" w:color="auto" w:fill="FFFFFF"/>
        <w:spacing w:after="360" w:afterAutospacing="0"/>
        <w:jc w:val="both"/>
        <w:rPr>
          <w:color w:val="000000"/>
          <w:sz w:val="26"/>
          <w:szCs w:val="26"/>
        </w:rPr>
      </w:pPr>
      <w:r w:rsidRPr="00787525">
        <w:rPr>
          <w:color w:val="000000"/>
          <w:sz w:val="26"/>
          <w:szCs w:val="26"/>
        </w:rPr>
        <w:t>Hợp đồng này lập tại…….vào ngày được đề cập trên đầu trang 1, và được lập thành……bản, mỗi bên giữ…… bản có giá trị như nhau.</w:t>
      </w:r>
    </w:p>
    <w:p w:rsidR="00787525" w:rsidRPr="00787525" w:rsidRDefault="00787525" w:rsidP="00787525">
      <w:pPr>
        <w:pStyle w:val="NormalWeb"/>
        <w:shd w:val="clear" w:color="auto" w:fill="FFFFFF"/>
        <w:spacing w:after="360" w:afterAutospacing="0"/>
        <w:jc w:val="center"/>
        <w:rPr>
          <w:color w:val="000000"/>
          <w:sz w:val="26"/>
          <w:szCs w:val="26"/>
        </w:rPr>
      </w:pPr>
      <w:r w:rsidRPr="00787525">
        <w:rPr>
          <w:rStyle w:val="Strong"/>
          <w:color w:val="000000"/>
          <w:sz w:val="26"/>
          <w:szCs w:val="26"/>
        </w:rPr>
        <w:t>ĐẠI DIỆN NHÀ PHÂN PHỐI                          ĐẠI DIỆN NHÀ CUNG CẤP</w:t>
      </w:r>
    </w:p>
    <w:p w:rsidR="00787525" w:rsidRPr="00787525" w:rsidRDefault="00787525" w:rsidP="00787525">
      <w:pPr>
        <w:pStyle w:val="NormalWeb"/>
        <w:shd w:val="clear" w:color="auto" w:fill="FFFFFF"/>
        <w:spacing w:after="360" w:afterAutospacing="0"/>
        <w:jc w:val="center"/>
        <w:rPr>
          <w:color w:val="000000"/>
          <w:sz w:val="26"/>
          <w:szCs w:val="26"/>
        </w:rPr>
      </w:pPr>
      <w:r w:rsidRPr="00787525">
        <w:rPr>
          <w:color w:val="000000"/>
          <w:sz w:val="26"/>
          <w:szCs w:val="26"/>
        </w:rPr>
        <w:t>(Ký tên, đóng dấu)                                      (Ký tên, đóng dấu)</w:t>
      </w:r>
    </w:p>
    <w:p w:rsidR="002533A8" w:rsidRPr="00787525" w:rsidRDefault="00787525">
      <w:pPr>
        <w:rPr>
          <w:rFonts w:ascii="Times New Roman" w:hAnsi="Times New Roman" w:cs="Times New Roman"/>
          <w:sz w:val="26"/>
          <w:szCs w:val="26"/>
        </w:rPr>
      </w:pPr>
    </w:p>
    <w:sectPr w:rsidR="002533A8" w:rsidRPr="00787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25"/>
    <w:rsid w:val="007458F8"/>
    <w:rsid w:val="00787525"/>
    <w:rsid w:val="0091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AE10B-BC64-4DC0-9A59-AA9656E3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5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7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2021-03-19T03:52:00Z</dcterms:created>
  <dcterms:modified xsi:type="dcterms:W3CDTF">2021-03-19T03:53:00Z</dcterms:modified>
</cp:coreProperties>
</file>